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25" w:rsidRDefault="003B6773" w:rsidP="003B6773">
      <w:pPr>
        <w:pStyle w:val="Title"/>
      </w:pPr>
      <w:r>
        <w:t xml:space="preserve">Proposal for </w:t>
      </w:r>
      <w:r w:rsidR="00710F3E">
        <w:t>Refactoring the</w:t>
      </w:r>
      <w:r>
        <w:t xml:space="preserve"> Precision Coding Struct</w:t>
      </w:r>
      <w:r w:rsidR="00710F3E">
        <w:t>ure for the IATI &lt;location&gt; Element</w:t>
      </w:r>
    </w:p>
    <w:p w:rsidR="003B6773" w:rsidRPr="003B6773" w:rsidRDefault="003B6773" w:rsidP="003B6773">
      <w:pPr>
        <w:pStyle w:val="Heading1"/>
      </w:pPr>
      <w:r w:rsidRPr="003B6773">
        <w:t>Introduction</w:t>
      </w:r>
    </w:p>
    <w:p w:rsidR="003B6773" w:rsidRDefault="003B6773" w:rsidP="003B6773">
      <w:pPr>
        <w:jc w:val="both"/>
      </w:pPr>
      <w:r>
        <w:t>The IATI Secretariat has asked the group represented by the OAP, CIDA, and Development Gateway to develop a new proposal for the &lt;location&gt; element under the 1.02 decim</w:t>
      </w:r>
      <w:r w:rsidR="00710F3E">
        <w:t>al upgrade of the IATI standard. This proposal should be based on</w:t>
      </w:r>
      <w:r>
        <w:t xml:space="preserve"> the results of the August 2012 discussions in Ottawa</w:t>
      </w:r>
      <w:r w:rsidR="00710F3E">
        <w:t>,</w:t>
      </w:r>
      <w:r>
        <w:t xml:space="preserve"> but </w:t>
      </w:r>
      <w:r w:rsidR="00710F3E">
        <w:t>should add</w:t>
      </w:r>
      <w:r>
        <w:t xml:space="preserve"> in the flexibility of going beyond just ADM1 and ADM2 regions to allow ADM1-n region specification using multiple different gazeteers. To do this, some refactoring of the precision code system will be necessary, as the current precision code list does not allow for any administrative region smaller than an ADM2. This document outlines a first proposal for that refactoring.</w:t>
      </w:r>
    </w:p>
    <w:p w:rsidR="003B6773" w:rsidRDefault="003B6773" w:rsidP="003B6773">
      <w:pPr>
        <w:pStyle w:val="Heading1"/>
      </w:pPr>
      <w:r>
        <w:t xml:space="preserve"> Proposal</w:t>
      </w:r>
    </w:p>
    <w:p w:rsidR="003B6773" w:rsidRDefault="003B6773">
      <w:r>
        <w:t xml:space="preserve">Instead of one “precision code”, it is recommended that each &lt;location&gt; element have two codes which determine its overall accuracy: a “precision code” and a “feature class”. Each of the precision codes contained in the Ottawa standard will be expressed as some combination of a new </w:t>
      </w:r>
      <w:r w:rsidRPr="00710F3E">
        <w:rPr>
          <w:i/>
        </w:rPr>
        <w:t>precision code</w:t>
      </w:r>
      <w:r>
        <w:t xml:space="preserve"> and </w:t>
      </w:r>
      <w:r w:rsidRPr="00710F3E">
        <w:rPr>
          <w:i/>
        </w:rPr>
        <w:t>feature class</w:t>
      </w:r>
      <w:r>
        <w:t>. The proposals for precision codes and feature classes are as follows:</w:t>
      </w:r>
    </w:p>
    <w:p w:rsidR="00717105" w:rsidRDefault="003B6773" w:rsidP="00717105">
      <w:pPr>
        <w:ind w:left="270"/>
        <w:rPr>
          <w:b/>
          <w:u w:val="single"/>
        </w:rPr>
      </w:pPr>
      <w:r w:rsidRPr="00717105">
        <w:rPr>
          <w:b/>
          <w:u w:val="single"/>
        </w:rPr>
        <w:t>Precision Codes</w:t>
      </w:r>
    </w:p>
    <w:p w:rsidR="003B6773" w:rsidRPr="003B6773" w:rsidRDefault="003B6773" w:rsidP="00710F3E">
      <w:pPr>
        <w:pStyle w:val="ListParagraph"/>
        <w:numPr>
          <w:ilvl w:val="1"/>
          <w:numId w:val="1"/>
        </w:numPr>
        <w:ind w:left="990"/>
        <w:jc w:val="both"/>
        <w:rPr>
          <w:b/>
        </w:rPr>
      </w:pPr>
      <w:r w:rsidRPr="003B6773">
        <w:rPr>
          <w:b/>
        </w:rPr>
        <w:t xml:space="preserve">The Location is Exact. </w:t>
      </w:r>
      <w:r>
        <w:t>The location specified is the best possible specification for this segment of the activity.</w:t>
      </w:r>
    </w:p>
    <w:p w:rsidR="003B6773" w:rsidRPr="003B6773" w:rsidRDefault="003B6773" w:rsidP="00710F3E">
      <w:pPr>
        <w:pStyle w:val="ListParagraph"/>
        <w:numPr>
          <w:ilvl w:val="1"/>
          <w:numId w:val="1"/>
        </w:numPr>
        <w:ind w:left="990"/>
        <w:jc w:val="both"/>
        <w:rPr>
          <w:b/>
        </w:rPr>
      </w:pPr>
      <w:r>
        <w:rPr>
          <w:b/>
        </w:rPr>
        <w:t>The Location is Approximate.</w:t>
      </w:r>
      <w:r>
        <w:t xml:space="preserve"> Ideally the location for this segment of the activity would be specified in more detail, however sufficient information is not available.</w:t>
      </w:r>
    </w:p>
    <w:p w:rsidR="003B6773" w:rsidRPr="00717105" w:rsidRDefault="003B6773" w:rsidP="00710F3E">
      <w:pPr>
        <w:ind w:left="270"/>
        <w:jc w:val="both"/>
        <w:rPr>
          <w:b/>
          <w:u w:val="single"/>
        </w:rPr>
      </w:pPr>
      <w:r w:rsidRPr="00717105">
        <w:rPr>
          <w:b/>
          <w:u w:val="single"/>
        </w:rPr>
        <w:t>Feature Classes</w:t>
      </w:r>
    </w:p>
    <w:p w:rsidR="003B6773" w:rsidRPr="003B6773" w:rsidRDefault="003B6773" w:rsidP="00710F3E">
      <w:pPr>
        <w:pStyle w:val="ListParagraph"/>
        <w:numPr>
          <w:ilvl w:val="0"/>
          <w:numId w:val="3"/>
        </w:numPr>
        <w:ind w:left="990"/>
        <w:jc w:val="both"/>
        <w:rPr>
          <w:b/>
        </w:rPr>
      </w:pPr>
      <w:r>
        <w:rPr>
          <w:b/>
        </w:rPr>
        <w:t>Structure</w:t>
      </w:r>
      <w:r w:rsidRPr="003B6773">
        <w:rPr>
          <w:b/>
        </w:rPr>
        <w:t xml:space="preserve">. </w:t>
      </w:r>
      <w:r w:rsidR="00717105">
        <w:t>The location is a specific physical structure like a building, a road, etc.</w:t>
      </w:r>
    </w:p>
    <w:p w:rsidR="003B6773" w:rsidRPr="003B6773" w:rsidRDefault="003B6773" w:rsidP="00710F3E">
      <w:pPr>
        <w:pStyle w:val="ListParagraph"/>
        <w:numPr>
          <w:ilvl w:val="0"/>
          <w:numId w:val="3"/>
        </w:numPr>
        <w:ind w:left="990"/>
        <w:jc w:val="both"/>
        <w:rPr>
          <w:b/>
        </w:rPr>
      </w:pPr>
      <w:r>
        <w:rPr>
          <w:b/>
        </w:rPr>
        <w:t xml:space="preserve">Populated </w:t>
      </w:r>
      <w:r w:rsidR="00227E09">
        <w:rPr>
          <w:b/>
        </w:rPr>
        <w:t>Place</w:t>
      </w:r>
      <w:r>
        <w:rPr>
          <w:b/>
        </w:rPr>
        <w:t>.</w:t>
      </w:r>
      <w:r>
        <w:t xml:space="preserve"> </w:t>
      </w:r>
      <w:r w:rsidR="00717105">
        <w:t>The location is a populated area best represented by a point, such as a village, city, etc.</w:t>
      </w:r>
    </w:p>
    <w:p w:rsidR="003B6773" w:rsidRDefault="003B6773" w:rsidP="00710F3E">
      <w:pPr>
        <w:pStyle w:val="ListParagraph"/>
        <w:numPr>
          <w:ilvl w:val="0"/>
          <w:numId w:val="3"/>
        </w:numPr>
        <w:ind w:left="990"/>
        <w:jc w:val="both"/>
        <w:rPr>
          <w:b/>
        </w:rPr>
      </w:pPr>
      <w:r>
        <w:rPr>
          <w:b/>
        </w:rPr>
        <w:t>Administrative Division</w:t>
      </w:r>
      <w:r w:rsidR="00717105">
        <w:rPr>
          <w:b/>
        </w:rPr>
        <w:t xml:space="preserve">. </w:t>
      </w:r>
      <w:r w:rsidR="00717105">
        <w:t>The location is an administrative division, such as an ADM1 or an ADM5</w:t>
      </w:r>
    </w:p>
    <w:p w:rsidR="003B6773" w:rsidRPr="00717105" w:rsidRDefault="003B6773" w:rsidP="00710F3E">
      <w:pPr>
        <w:pStyle w:val="ListParagraph"/>
        <w:numPr>
          <w:ilvl w:val="0"/>
          <w:numId w:val="3"/>
        </w:numPr>
        <w:ind w:left="990"/>
        <w:jc w:val="both"/>
        <w:rPr>
          <w:b/>
        </w:rPr>
      </w:pPr>
      <w:r>
        <w:rPr>
          <w:b/>
        </w:rPr>
        <w:t>Can’t be Specified</w:t>
      </w:r>
      <w:r w:rsidR="00717105">
        <w:rPr>
          <w:b/>
        </w:rPr>
        <w:t xml:space="preserve">. </w:t>
      </w:r>
      <w:r w:rsidR="00717105">
        <w:t>No specific location can be specified for the activity (e.g. advocacy, etc.)</w:t>
      </w:r>
    </w:p>
    <w:p w:rsidR="00717105" w:rsidRDefault="00717105" w:rsidP="00717105">
      <w:pPr>
        <w:pStyle w:val="Heading1"/>
      </w:pPr>
      <w:r>
        <w:t>Reclassification Between Ottawa Precision Codes and New Codes</w:t>
      </w:r>
    </w:p>
    <w:p w:rsidR="00717105" w:rsidRDefault="00717105" w:rsidP="00710F3E">
      <w:pPr>
        <w:jc w:val="both"/>
      </w:pPr>
      <w:r>
        <w:t xml:space="preserve">The goal of this refactoring was </w:t>
      </w:r>
      <w:r w:rsidR="00710F3E">
        <w:t xml:space="preserve">to allow more flexibility while also ensuring that any code from the Ottawa Precision Codes could still be expressed distinctly as one of </w:t>
      </w:r>
      <w:r>
        <w:t>the new set of precision codes. This section shows the reclassification between the old and new codes.</w:t>
      </w:r>
    </w:p>
    <w:p w:rsidR="00717105" w:rsidRPr="00717105" w:rsidRDefault="00717105" w:rsidP="00710F3E">
      <w:pPr>
        <w:ind w:left="270"/>
        <w:jc w:val="both"/>
        <w:rPr>
          <w:b/>
          <w:u w:val="single"/>
        </w:rPr>
      </w:pPr>
      <w:r>
        <w:rPr>
          <w:b/>
          <w:u w:val="single"/>
        </w:rPr>
        <w:t>Old Precision Codes</w:t>
      </w:r>
    </w:p>
    <w:p w:rsidR="00717105" w:rsidRPr="00D34265" w:rsidRDefault="00717105" w:rsidP="00710F3E">
      <w:pPr>
        <w:pStyle w:val="ListParagraph"/>
        <w:numPr>
          <w:ilvl w:val="1"/>
          <w:numId w:val="5"/>
        </w:numPr>
        <w:spacing w:after="0" w:line="360" w:lineRule="auto"/>
        <w:ind w:left="810"/>
        <w:jc w:val="both"/>
        <w:rPr>
          <w:b/>
          <w:lang w:val="en-GB"/>
        </w:rPr>
      </w:pPr>
      <w:r w:rsidRPr="00D34265">
        <w:rPr>
          <w:b/>
          <w:lang w:val="en-GB"/>
        </w:rPr>
        <w:t>The coordinates correspond to an exact location such as a university or a hospital,</w:t>
      </w:r>
      <w:r>
        <w:rPr>
          <w:b/>
          <w:lang w:val="en-GB"/>
        </w:rPr>
        <w:t xml:space="preserve"> or the street address is known.</w:t>
      </w:r>
    </w:p>
    <w:p w:rsidR="00717105" w:rsidRPr="00D34265" w:rsidRDefault="00717105" w:rsidP="00710F3E">
      <w:pPr>
        <w:pStyle w:val="ListParagraph"/>
        <w:numPr>
          <w:ilvl w:val="1"/>
          <w:numId w:val="5"/>
        </w:numPr>
        <w:spacing w:after="0" w:line="360" w:lineRule="auto"/>
        <w:ind w:left="810"/>
        <w:jc w:val="both"/>
        <w:rPr>
          <w:lang w:val="en-GB"/>
        </w:rPr>
      </w:pPr>
      <w:r w:rsidRPr="00D34265">
        <w:rPr>
          <w:b/>
          <w:lang w:val="en-GB"/>
        </w:rPr>
        <w:t>The coordinates corresponds to an exact populated place, where the exact street address is unavailable.</w:t>
      </w:r>
      <w:r>
        <w:rPr>
          <w:b/>
          <w:lang w:val="en-GB"/>
        </w:rPr>
        <w:t xml:space="preserve"> (Note: This category is identical to how the World Bank methodology previously identified precision 1).</w:t>
      </w:r>
    </w:p>
    <w:p w:rsidR="00717105" w:rsidRPr="00D34265" w:rsidRDefault="00717105" w:rsidP="00710F3E">
      <w:pPr>
        <w:pStyle w:val="ListParagraph"/>
        <w:numPr>
          <w:ilvl w:val="0"/>
          <w:numId w:val="5"/>
        </w:numPr>
        <w:spacing w:after="0" w:line="360" w:lineRule="auto"/>
        <w:ind w:left="810"/>
        <w:jc w:val="both"/>
        <w:rPr>
          <w:b/>
          <w:lang w:val="en-GB"/>
        </w:rPr>
      </w:pPr>
      <w:r w:rsidRPr="00D34265">
        <w:rPr>
          <w:lang w:val="en-GB"/>
        </w:rPr>
        <w:t>T</w:t>
      </w:r>
      <w:r>
        <w:rPr>
          <w:lang w:val="en-GB"/>
        </w:rPr>
        <w:t>he location is mentioned in the source as being “near”, in the “area” of, or up to 25km away from an exact location. The coordinates refer to that adjacent, exact, location.</w:t>
      </w:r>
    </w:p>
    <w:p w:rsidR="00717105" w:rsidRDefault="00717105" w:rsidP="00710F3E">
      <w:pPr>
        <w:pStyle w:val="ListParagraph"/>
        <w:numPr>
          <w:ilvl w:val="0"/>
          <w:numId w:val="5"/>
        </w:numPr>
        <w:spacing w:after="0" w:line="360" w:lineRule="auto"/>
        <w:ind w:left="810"/>
        <w:jc w:val="both"/>
        <w:rPr>
          <w:lang w:val="en-GB"/>
        </w:rPr>
      </w:pPr>
      <w:r w:rsidRPr="00D34265">
        <w:rPr>
          <w:lang w:val="en-GB"/>
        </w:rPr>
        <w:lastRenderedPageBreak/>
        <w:t>The location is, or lies in, a second order administrative division (ADM2), such as a district, municipality, or commune</w:t>
      </w:r>
      <w:r>
        <w:rPr>
          <w:lang w:val="en-GB"/>
        </w:rPr>
        <w:t>.</w:t>
      </w:r>
    </w:p>
    <w:p w:rsidR="00717105" w:rsidRPr="005C50A6" w:rsidRDefault="00717105" w:rsidP="00710F3E">
      <w:pPr>
        <w:spacing w:after="0" w:line="360" w:lineRule="auto"/>
        <w:ind w:left="810" w:hanging="360"/>
        <w:jc w:val="both"/>
        <w:rPr>
          <w:lang w:val="en-GB"/>
        </w:rPr>
      </w:pPr>
      <w:r w:rsidRPr="005C50A6">
        <w:rPr>
          <w:lang w:val="en-GB"/>
        </w:rPr>
        <w:t>4.1 The location is an entire first order administrative division (ADM1), such as a province, state or govern</w:t>
      </w:r>
      <w:r>
        <w:rPr>
          <w:lang w:val="en-GB"/>
        </w:rPr>
        <w:t>or</w:t>
      </w:r>
      <w:r w:rsidRPr="005C50A6">
        <w:rPr>
          <w:lang w:val="en-GB"/>
        </w:rPr>
        <w:t>ate.</w:t>
      </w:r>
    </w:p>
    <w:p w:rsidR="00717105" w:rsidRPr="00D34265" w:rsidRDefault="00717105" w:rsidP="00710F3E">
      <w:pPr>
        <w:ind w:left="810" w:hanging="360"/>
        <w:jc w:val="both"/>
      </w:pPr>
      <w:r>
        <w:t>4.2 The location is within a first order administrative division (ADM1), such as a province, state or governorate, but the location within the ADM1 is unknown.</w:t>
      </w:r>
    </w:p>
    <w:p w:rsidR="00717105" w:rsidRDefault="00717105" w:rsidP="00710F3E">
      <w:pPr>
        <w:ind w:left="810" w:hanging="360"/>
        <w:jc w:val="both"/>
      </w:pPr>
      <w:r>
        <w:t xml:space="preserve">5 </w:t>
      </w:r>
      <w:r w:rsidR="00227E09">
        <w:tab/>
      </w:r>
      <w:r>
        <w:t>The location can only be related to estimated coordinates, such as when a location lies between populated places; along rivers, roads, and borders; more than 25 km away from a specific location; or when sources refer to parts of a country greater than ADM1 (e.g. “northern Uganda”)</w:t>
      </w:r>
    </w:p>
    <w:p w:rsidR="00717105" w:rsidRDefault="00717105" w:rsidP="00710F3E">
      <w:pPr>
        <w:spacing w:line="360" w:lineRule="auto"/>
        <w:ind w:left="810" w:hanging="360"/>
        <w:jc w:val="both"/>
        <w:rPr>
          <w:lang w:val="en-GB"/>
        </w:rPr>
      </w:pPr>
      <w:r>
        <w:rPr>
          <w:lang w:val="en-GB"/>
        </w:rPr>
        <w:t xml:space="preserve">6 </w:t>
      </w:r>
      <w:r w:rsidR="00227E09">
        <w:rPr>
          <w:lang w:val="en-GB"/>
        </w:rPr>
        <w:tab/>
      </w:r>
      <w:r>
        <w:rPr>
          <w:lang w:val="en-GB"/>
        </w:rPr>
        <w:t xml:space="preserve">The location can </w:t>
      </w:r>
      <w:r w:rsidRPr="00840919">
        <w:rPr>
          <w:lang w:val="en-GB"/>
        </w:rPr>
        <w:t xml:space="preserve">only be </w:t>
      </w:r>
      <w:r>
        <w:rPr>
          <w:lang w:val="en-GB"/>
        </w:rPr>
        <w:t xml:space="preserve">specified to the national level (or dependent political entity that is geographically analogous to a country). </w:t>
      </w:r>
    </w:p>
    <w:p w:rsidR="00717105" w:rsidRPr="00ED0D74" w:rsidRDefault="00717105" w:rsidP="00710F3E">
      <w:pPr>
        <w:spacing w:line="360" w:lineRule="auto"/>
        <w:ind w:left="810" w:hanging="360"/>
        <w:jc w:val="both"/>
        <w:rPr>
          <w:bCs/>
          <w:lang w:val="en-GB"/>
        </w:rPr>
      </w:pPr>
      <w:r w:rsidRPr="00ED0D74">
        <w:rPr>
          <w:bCs/>
          <w:lang w:val="en-GB"/>
        </w:rPr>
        <w:t xml:space="preserve">7 </w:t>
      </w:r>
      <w:r w:rsidR="00227E09">
        <w:rPr>
          <w:bCs/>
          <w:lang w:val="en-GB"/>
        </w:rPr>
        <w:tab/>
      </w:r>
      <w:r w:rsidRPr="00ED0D74">
        <w:rPr>
          <w:bCs/>
          <w:lang w:val="en-GB"/>
        </w:rPr>
        <w:t xml:space="preserve">The </w:t>
      </w:r>
      <w:r>
        <w:rPr>
          <w:bCs/>
          <w:lang w:val="en-GB"/>
        </w:rPr>
        <w:t>country coordinates are entered to reflect that sub-country information is unavailable (may be national or sub-national).</w:t>
      </w:r>
    </w:p>
    <w:p w:rsidR="00717105" w:rsidRDefault="00717105" w:rsidP="00710F3E">
      <w:pPr>
        <w:ind w:left="810" w:hanging="360"/>
        <w:jc w:val="both"/>
      </w:pPr>
      <w:r>
        <w:t xml:space="preserve">8.1 </w:t>
      </w:r>
      <w:r w:rsidR="00227E09">
        <w:tab/>
      </w:r>
      <w:r>
        <w:t>The location represents funding to a government agency</w:t>
      </w:r>
    </w:p>
    <w:p w:rsidR="00717105" w:rsidRDefault="00717105" w:rsidP="00710F3E">
      <w:pPr>
        <w:ind w:left="810" w:hanging="360"/>
        <w:jc w:val="both"/>
      </w:pPr>
      <w:r>
        <w:t xml:space="preserve">8.2 </w:t>
      </w:r>
      <w:r w:rsidR="00227E09">
        <w:tab/>
      </w:r>
      <w:r>
        <w:t>The location represents funding to a government agency, but this is not the only location for the project.</w:t>
      </w:r>
    </w:p>
    <w:p w:rsidR="00717105" w:rsidRPr="005C50A6" w:rsidRDefault="00717105" w:rsidP="00710F3E">
      <w:pPr>
        <w:spacing w:after="0" w:line="360" w:lineRule="auto"/>
        <w:ind w:left="810" w:hanging="360"/>
        <w:jc w:val="both"/>
        <w:rPr>
          <w:b/>
          <w:lang w:val="en-GB"/>
        </w:rPr>
      </w:pPr>
      <w:r w:rsidRPr="005C50A6">
        <w:rPr>
          <w:b/>
        </w:rPr>
        <w:t xml:space="preserve">8.3 </w:t>
      </w:r>
      <w:r w:rsidR="00227E09">
        <w:rPr>
          <w:b/>
        </w:rPr>
        <w:tab/>
      </w:r>
      <w:r w:rsidRPr="005C50A6">
        <w:rPr>
          <w:b/>
          <w:lang w:val="en-GB"/>
        </w:rPr>
        <w:t>The location represents funding to an NGO or CSO or private sector entity headquarters.</w:t>
      </w:r>
    </w:p>
    <w:p w:rsidR="00717105" w:rsidRDefault="00717105" w:rsidP="00710F3E">
      <w:pPr>
        <w:spacing w:after="0" w:line="360" w:lineRule="auto"/>
        <w:ind w:left="810" w:hanging="360"/>
        <w:jc w:val="both"/>
        <w:rPr>
          <w:b/>
          <w:lang w:val="en-GB"/>
        </w:rPr>
      </w:pPr>
      <w:r w:rsidRPr="005C50A6">
        <w:rPr>
          <w:b/>
        </w:rPr>
        <w:t xml:space="preserve">9 </w:t>
      </w:r>
      <w:r w:rsidR="00227E09">
        <w:rPr>
          <w:b/>
        </w:rPr>
        <w:tab/>
      </w:r>
      <w:r w:rsidRPr="005C50A6">
        <w:rPr>
          <w:b/>
          <w:lang w:val="en-GB"/>
        </w:rPr>
        <w:t>The location is representative of funding to a regional (supra-national) program.</w:t>
      </w:r>
    </w:p>
    <w:p w:rsidR="00227E09" w:rsidRDefault="00227E09" w:rsidP="00717105">
      <w:pPr>
        <w:spacing w:after="0" w:line="360" w:lineRule="auto"/>
        <w:ind w:left="810"/>
        <w:rPr>
          <w:b/>
          <w:lang w:val="en-GB"/>
        </w:rPr>
      </w:pPr>
    </w:p>
    <w:tbl>
      <w:tblPr>
        <w:tblStyle w:val="TableGrid"/>
        <w:tblW w:w="0" w:type="auto"/>
        <w:tblLayout w:type="fixed"/>
        <w:tblLook w:val="04A0" w:firstRow="1" w:lastRow="0" w:firstColumn="1" w:lastColumn="0" w:noHBand="0" w:noVBand="1"/>
      </w:tblPr>
      <w:tblGrid>
        <w:gridCol w:w="468"/>
        <w:gridCol w:w="765"/>
        <w:gridCol w:w="765"/>
        <w:gridCol w:w="1620"/>
        <w:gridCol w:w="1890"/>
        <w:gridCol w:w="2340"/>
        <w:gridCol w:w="1890"/>
      </w:tblGrid>
      <w:tr w:rsidR="00C54247" w:rsidTr="00C54247">
        <w:tc>
          <w:tcPr>
            <w:tcW w:w="468" w:type="dxa"/>
            <w:tcBorders>
              <w:top w:val="nil"/>
              <w:left w:val="nil"/>
              <w:bottom w:val="nil"/>
              <w:right w:val="nil"/>
            </w:tcBorders>
          </w:tcPr>
          <w:p w:rsidR="00C54247" w:rsidRDefault="00C54247" w:rsidP="00717105">
            <w:pPr>
              <w:spacing w:line="360" w:lineRule="auto"/>
              <w:rPr>
                <w:b/>
                <w:lang w:val="en-GB"/>
              </w:rPr>
            </w:pPr>
          </w:p>
        </w:tc>
        <w:tc>
          <w:tcPr>
            <w:tcW w:w="765" w:type="dxa"/>
            <w:tcBorders>
              <w:top w:val="nil"/>
              <w:left w:val="nil"/>
              <w:bottom w:val="nil"/>
              <w:right w:val="nil"/>
            </w:tcBorders>
          </w:tcPr>
          <w:p w:rsidR="00C54247" w:rsidRDefault="00C54247" w:rsidP="00717105">
            <w:pPr>
              <w:spacing w:line="360" w:lineRule="auto"/>
              <w:rPr>
                <w:b/>
                <w:lang w:val="en-GB"/>
              </w:rPr>
            </w:pPr>
          </w:p>
        </w:tc>
        <w:tc>
          <w:tcPr>
            <w:tcW w:w="765" w:type="dxa"/>
            <w:tcBorders>
              <w:top w:val="nil"/>
              <w:left w:val="nil"/>
              <w:bottom w:val="nil"/>
              <w:right w:val="single" w:sz="4" w:space="0" w:color="auto"/>
            </w:tcBorders>
          </w:tcPr>
          <w:p w:rsidR="00C54247" w:rsidRDefault="00C54247" w:rsidP="00717105">
            <w:pPr>
              <w:spacing w:line="360" w:lineRule="auto"/>
              <w:rPr>
                <w:b/>
                <w:lang w:val="en-GB"/>
              </w:rPr>
            </w:pPr>
          </w:p>
        </w:tc>
        <w:tc>
          <w:tcPr>
            <w:tcW w:w="7740" w:type="dxa"/>
            <w:gridSpan w:val="4"/>
            <w:tcBorders>
              <w:top w:val="single" w:sz="4" w:space="0" w:color="auto"/>
              <w:left w:val="single" w:sz="4" w:space="0" w:color="auto"/>
              <w:bottom w:val="single" w:sz="4" w:space="0" w:color="auto"/>
            </w:tcBorders>
            <w:shd w:val="clear" w:color="auto" w:fill="8DB3E2" w:themeFill="text2" w:themeFillTint="66"/>
            <w:vAlign w:val="center"/>
          </w:tcPr>
          <w:p w:rsidR="00C54247" w:rsidRDefault="00C54247" w:rsidP="00C54247">
            <w:pPr>
              <w:spacing w:line="360" w:lineRule="auto"/>
              <w:jc w:val="center"/>
              <w:rPr>
                <w:b/>
                <w:lang w:val="en-GB"/>
              </w:rPr>
            </w:pPr>
            <w:r>
              <w:rPr>
                <w:b/>
                <w:lang w:val="en-GB"/>
              </w:rPr>
              <w:t>Feature Class Type</w:t>
            </w:r>
          </w:p>
        </w:tc>
      </w:tr>
      <w:tr w:rsidR="00D4616C" w:rsidTr="00C54247">
        <w:tc>
          <w:tcPr>
            <w:tcW w:w="468" w:type="dxa"/>
            <w:tcBorders>
              <w:top w:val="nil"/>
              <w:left w:val="nil"/>
              <w:right w:val="nil"/>
            </w:tcBorders>
          </w:tcPr>
          <w:p w:rsidR="00D4616C" w:rsidRDefault="00D4616C" w:rsidP="00717105">
            <w:pPr>
              <w:spacing w:line="360" w:lineRule="auto"/>
              <w:rPr>
                <w:b/>
                <w:lang w:val="en-GB"/>
              </w:rPr>
            </w:pPr>
          </w:p>
        </w:tc>
        <w:tc>
          <w:tcPr>
            <w:tcW w:w="1530" w:type="dxa"/>
            <w:gridSpan w:val="2"/>
            <w:tcBorders>
              <w:top w:val="nil"/>
              <w:left w:val="nil"/>
            </w:tcBorders>
          </w:tcPr>
          <w:p w:rsidR="00D4616C" w:rsidRDefault="00D4616C" w:rsidP="00717105">
            <w:pPr>
              <w:spacing w:line="360" w:lineRule="auto"/>
              <w:rPr>
                <w:b/>
                <w:lang w:val="en-GB"/>
              </w:rPr>
            </w:pPr>
          </w:p>
        </w:tc>
        <w:tc>
          <w:tcPr>
            <w:tcW w:w="1620" w:type="dxa"/>
            <w:tcBorders>
              <w:top w:val="single" w:sz="4" w:space="0" w:color="auto"/>
            </w:tcBorders>
            <w:shd w:val="clear" w:color="auto" w:fill="0F243E" w:themeFill="text2" w:themeFillShade="80"/>
            <w:vAlign w:val="center"/>
          </w:tcPr>
          <w:p w:rsidR="00D4616C" w:rsidRPr="00227E09" w:rsidRDefault="00D4616C" w:rsidP="00710F3E">
            <w:pPr>
              <w:pStyle w:val="NoSpacing"/>
              <w:jc w:val="center"/>
              <w:rPr>
                <w:b/>
                <w:color w:val="FFFFFF" w:themeColor="background1"/>
                <w:lang w:val="en-GB"/>
              </w:rPr>
            </w:pPr>
            <w:r w:rsidRPr="00227E09">
              <w:rPr>
                <w:b/>
                <w:color w:val="FFFFFF" w:themeColor="background1"/>
                <w:lang w:val="en-GB"/>
              </w:rPr>
              <w:t>Class 1: Structure</w:t>
            </w:r>
          </w:p>
        </w:tc>
        <w:tc>
          <w:tcPr>
            <w:tcW w:w="1890" w:type="dxa"/>
            <w:tcBorders>
              <w:top w:val="single" w:sz="4" w:space="0" w:color="auto"/>
            </w:tcBorders>
            <w:shd w:val="clear" w:color="auto" w:fill="0F243E" w:themeFill="text2" w:themeFillShade="80"/>
            <w:vAlign w:val="center"/>
          </w:tcPr>
          <w:p w:rsidR="00D4616C" w:rsidRPr="00227E09" w:rsidRDefault="00D4616C" w:rsidP="00710F3E">
            <w:pPr>
              <w:pStyle w:val="NoSpacing"/>
              <w:jc w:val="center"/>
              <w:rPr>
                <w:b/>
                <w:color w:val="FFFFFF" w:themeColor="background1"/>
                <w:lang w:val="en-GB"/>
              </w:rPr>
            </w:pPr>
            <w:r w:rsidRPr="00227E09">
              <w:rPr>
                <w:b/>
                <w:color w:val="FFFFFF" w:themeColor="background1"/>
                <w:lang w:val="en-GB"/>
              </w:rPr>
              <w:t>Class 2: Populated Place</w:t>
            </w:r>
          </w:p>
        </w:tc>
        <w:tc>
          <w:tcPr>
            <w:tcW w:w="2340" w:type="dxa"/>
            <w:tcBorders>
              <w:top w:val="single" w:sz="4" w:space="0" w:color="auto"/>
            </w:tcBorders>
            <w:shd w:val="clear" w:color="auto" w:fill="0F243E" w:themeFill="text2" w:themeFillShade="80"/>
            <w:vAlign w:val="center"/>
          </w:tcPr>
          <w:p w:rsidR="00D4616C" w:rsidRPr="00227E09" w:rsidRDefault="00D4616C" w:rsidP="00710F3E">
            <w:pPr>
              <w:pStyle w:val="NoSpacing"/>
              <w:jc w:val="center"/>
              <w:rPr>
                <w:b/>
                <w:color w:val="FFFFFF" w:themeColor="background1"/>
                <w:lang w:val="en-GB"/>
              </w:rPr>
            </w:pPr>
            <w:r w:rsidRPr="00227E09">
              <w:rPr>
                <w:b/>
                <w:color w:val="FFFFFF" w:themeColor="background1"/>
                <w:lang w:val="en-GB"/>
              </w:rPr>
              <w:t>Class 3: Administrative Division</w:t>
            </w:r>
          </w:p>
        </w:tc>
        <w:tc>
          <w:tcPr>
            <w:tcW w:w="1890" w:type="dxa"/>
            <w:tcBorders>
              <w:top w:val="single" w:sz="4" w:space="0" w:color="auto"/>
            </w:tcBorders>
            <w:shd w:val="clear" w:color="auto" w:fill="0F243E" w:themeFill="text2" w:themeFillShade="80"/>
            <w:vAlign w:val="center"/>
          </w:tcPr>
          <w:p w:rsidR="00D4616C" w:rsidRPr="00227E09" w:rsidRDefault="00D4616C" w:rsidP="00710F3E">
            <w:pPr>
              <w:pStyle w:val="NoSpacing"/>
              <w:jc w:val="center"/>
              <w:rPr>
                <w:b/>
                <w:color w:val="FFFFFF" w:themeColor="background1"/>
                <w:lang w:val="en-GB"/>
              </w:rPr>
            </w:pPr>
            <w:r w:rsidRPr="00227E09">
              <w:rPr>
                <w:b/>
                <w:color w:val="FFFFFF" w:themeColor="background1"/>
                <w:lang w:val="en-GB"/>
              </w:rPr>
              <w:t>Class 6: Can’t be Specified</w:t>
            </w:r>
          </w:p>
        </w:tc>
      </w:tr>
      <w:tr w:rsidR="00D4616C" w:rsidTr="00D4616C">
        <w:trPr>
          <w:cantSplit/>
          <w:trHeight w:val="1134"/>
        </w:trPr>
        <w:tc>
          <w:tcPr>
            <w:tcW w:w="468" w:type="dxa"/>
            <w:vMerge w:val="restart"/>
            <w:shd w:val="clear" w:color="auto" w:fill="95B3D7" w:themeFill="accent1" w:themeFillTint="99"/>
            <w:textDirection w:val="btLr"/>
          </w:tcPr>
          <w:p w:rsidR="00D4616C" w:rsidRDefault="00D4616C" w:rsidP="00227E09">
            <w:pPr>
              <w:spacing w:line="360" w:lineRule="auto"/>
              <w:ind w:left="113" w:right="113"/>
              <w:jc w:val="center"/>
              <w:rPr>
                <w:b/>
                <w:lang w:val="en-GB"/>
              </w:rPr>
            </w:pPr>
            <w:r>
              <w:rPr>
                <w:b/>
                <w:lang w:val="en-GB"/>
              </w:rPr>
              <w:t>Precision</w:t>
            </w:r>
            <w:bookmarkStart w:id="0" w:name="_GoBack"/>
            <w:bookmarkEnd w:id="0"/>
          </w:p>
        </w:tc>
        <w:tc>
          <w:tcPr>
            <w:tcW w:w="1530" w:type="dxa"/>
            <w:gridSpan w:val="2"/>
            <w:shd w:val="clear" w:color="auto" w:fill="0F243E" w:themeFill="text2" w:themeFillShade="80"/>
            <w:vAlign w:val="center"/>
          </w:tcPr>
          <w:p w:rsidR="00D4616C" w:rsidRPr="00227E09" w:rsidRDefault="00D4616C" w:rsidP="00710F3E">
            <w:pPr>
              <w:pStyle w:val="NoSpacing"/>
              <w:jc w:val="center"/>
              <w:rPr>
                <w:b/>
                <w:color w:val="FFFFFF" w:themeColor="background1"/>
                <w:lang w:val="en-GB"/>
              </w:rPr>
            </w:pPr>
            <w:r w:rsidRPr="00227E09">
              <w:rPr>
                <w:b/>
                <w:color w:val="FFFFFF" w:themeColor="background1"/>
                <w:lang w:val="en-GB"/>
              </w:rPr>
              <w:t>Precision 1: Exact</w:t>
            </w:r>
          </w:p>
        </w:tc>
        <w:tc>
          <w:tcPr>
            <w:tcW w:w="1620" w:type="dxa"/>
            <w:shd w:val="clear" w:color="auto" w:fill="DBE5F1" w:themeFill="accent1" w:themeFillTint="33"/>
            <w:vAlign w:val="center"/>
          </w:tcPr>
          <w:p w:rsidR="00D4616C" w:rsidRPr="00227E09" w:rsidRDefault="00D4616C" w:rsidP="00227E09">
            <w:pPr>
              <w:spacing w:line="276" w:lineRule="auto"/>
              <w:jc w:val="center"/>
              <w:rPr>
                <w:b/>
                <w:lang w:val="en-GB"/>
              </w:rPr>
            </w:pPr>
            <w:r w:rsidRPr="00227E09">
              <w:rPr>
                <w:b/>
                <w:lang w:val="en-GB"/>
              </w:rPr>
              <w:t>1.1</w:t>
            </w:r>
          </w:p>
        </w:tc>
        <w:tc>
          <w:tcPr>
            <w:tcW w:w="1890" w:type="dxa"/>
            <w:shd w:val="clear" w:color="auto" w:fill="DBE5F1" w:themeFill="accent1" w:themeFillTint="33"/>
            <w:vAlign w:val="center"/>
          </w:tcPr>
          <w:p w:rsidR="00D4616C" w:rsidRPr="00227E09" w:rsidRDefault="00D4616C" w:rsidP="00227E09">
            <w:pPr>
              <w:spacing w:line="276" w:lineRule="auto"/>
              <w:jc w:val="center"/>
              <w:rPr>
                <w:b/>
                <w:lang w:val="en-GB"/>
              </w:rPr>
            </w:pPr>
            <w:r w:rsidRPr="00227E09">
              <w:rPr>
                <w:b/>
                <w:lang w:val="en-GB"/>
              </w:rPr>
              <w:t>1.2</w:t>
            </w:r>
          </w:p>
        </w:tc>
        <w:tc>
          <w:tcPr>
            <w:tcW w:w="2340" w:type="dxa"/>
            <w:shd w:val="clear" w:color="auto" w:fill="DBE5F1" w:themeFill="accent1" w:themeFillTint="33"/>
            <w:vAlign w:val="center"/>
          </w:tcPr>
          <w:p w:rsidR="00D4616C" w:rsidRDefault="00D4616C" w:rsidP="00227E09">
            <w:pPr>
              <w:spacing w:line="276" w:lineRule="auto"/>
              <w:jc w:val="center"/>
              <w:rPr>
                <w:lang w:val="en-GB"/>
              </w:rPr>
            </w:pPr>
            <w:r w:rsidRPr="00227E09">
              <w:rPr>
                <w:b/>
                <w:lang w:val="en-GB"/>
              </w:rPr>
              <w:t>3</w:t>
            </w:r>
          </w:p>
          <w:p w:rsidR="00D4616C" w:rsidRDefault="00D4616C" w:rsidP="00227E09">
            <w:pPr>
              <w:spacing w:line="276" w:lineRule="auto"/>
              <w:jc w:val="center"/>
              <w:rPr>
                <w:lang w:val="en-GB"/>
              </w:rPr>
            </w:pPr>
            <w:r w:rsidRPr="00227E09">
              <w:rPr>
                <w:b/>
                <w:lang w:val="en-GB"/>
              </w:rPr>
              <w:t>4.1</w:t>
            </w:r>
          </w:p>
          <w:p w:rsidR="00D4616C" w:rsidRDefault="00D4616C" w:rsidP="00227E09">
            <w:pPr>
              <w:spacing w:line="276" w:lineRule="auto"/>
              <w:jc w:val="center"/>
              <w:rPr>
                <w:b/>
                <w:lang w:val="en-GB"/>
              </w:rPr>
            </w:pPr>
            <w:r w:rsidRPr="00227E09">
              <w:rPr>
                <w:b/>
                <w:lang w:val="en-GB"/>
              </w:rPr>
              <w:t>6</w:t>
            </w:r>
          </w:p>
          <w:p w:rsidR="00D4616C" w:rsidRPr="00227E09" w:rsidRDefault="00D4616C" w:rsidP="00227E09">
            <w:pPr>
              <w:spacing w:line="276" w:lineRule="auto"/>
              <w:jc w:val="center"/>
              <w:rPr>
                <w:lang w:val="en-GB"/>
              </w:rPr>
            </w:pPr>
            <w:r>
              <w:rPr>
                <w:b/>
                <w:lang w:val="en-GB"/>
              </w:rPr>
              <w:t>(8.1, 8.2, 8.3)</w:t>
            </w:r>
          </w:p>
        </w:tc>
        <w:tc>
          <w:tcPr>
            <w:tcW w:w="1890" w:type="dxa"/>
            <w:shd w:val="clear" w:color="auto" w:fill="DBE5F1" w:themeFill="accent1" w:themeFillTint="33"/>
            <w:vAlign w:val="center"/>
          </w:tcPr>
          <w:p w:rsidR="00D4616C" w:rsidRPr="00227E09" w:rsidRDefault="00D4616C" w:rsidP="00227E09">
            <w:pPr>
              <w:spacing w:line="276" w:lineRule="auto"/>
              <w:jc w:val="center"/>
              <w:rPr>
                <w:b/>
                <w:lang w:val="en-GB"/>
              </w:rPr>
            </w:pPr>
          </w:p>
        </w:tc>
      </w:tr>
      <w:tr w:rsidR="00D4616C" w:rsidTr="00D4616C">
        <w:trPr>
          <w:cantSplit/>
          <w:trHeight w:val="1134"/>
        </w:trPr>
        <w:tc>
          <w:tcPr>
            <w:tcW w:w="468" w:type="dxa"/>
            <w:vMerge/>
            <w:shd w:val="clear" w:color="auto" w:fill="95B3D7" w:themeFill="accent1" w:themeFillTint="99"/>
          </w:tcPr>
          <w:p w:rsidR="00D4616C" w:rsidRDefault="00D4616C" w:rsidP="00717105">
            <w:pPr>
              <w:spacing w:line="360" w:lineRule="auto"/>
              <w:rPr>
                <w:b/>
                <w:lang w:val="en-GB"/>
              </w:rPr>
            </w:pPr>
          </w:p>
        </w:tc>
        <w:tc>
          <w:tcPr>
            <w:tcW w:w="1530" w:type="dxa"/>
            <w:gridSpan w:val="2"/>
            <w:shd w:val="clear" w:color="auto" w:fill="0F243E" w:themeFill="text2" w:themeFillShade="80"/>
            <w:vAlign w:val="center"/>
          </w:tcPr>
          <w:p w:rsidR="00D4616C" w:rsidRPr="00227E09" w:rsidRDefault="00D4616C" w:rsidP="00710F3E">
            <w:pPr>
              <w:pStyle w:val="NoSpacing"/>
              <w:jc w:val="center"/>
              <w:rPr>
                <w:b/>
                <w:color w:val="FFFFFF" w:themeColor="background1"/>
                <w:lang w:val="en-GB"/>
              </w:rPr>
            </w:pPr>
            <w:r w:rsidRPr="00227E09">
              <w:rPr>
                <w:b/>
                <w:color w:val="FFFFFF" w:themeColor="background1"/>
                <w:lang w:val="en-GB"/>
              </w:rPr>
              <w:t>Precision 2: Approximate</w:t>
            </w:r>
          </w:p>
        </w:tc>
        <w:tc>
          <w:tcPr>
            <w:tcW w:w="1620" w:type="dxa"/>
            <w:shd w:val="clear" w:color="auto" w:fill="DBE5F1" w:themeFill="accent1" w:themeFillTint="33"/>
            <w:vAlign w:val="center"/>
          </w:tcPr>
          <w:p w:rsidR="00D4616C" w:rsidRPr="00D97F1A" w:rsidRDefault="00D4616C" w:rsidP="00D97F1A">
            <w:pPr>
              <w:spacing w:line="276" w:lineRule="auto"/>
              <w:jc w:val="center"/>
              <w:rPr>
                <w:b/>
                <w:lang w:val="en-GB"/>
              </w:rPr>
            </w:pPr>
            <w:r w:rsidRPr="00227E09">
              <w:rPr>
                <w:b/>
                <w:lang w:val="en-GB"/>
              </w:rPr>
              <w:t>2</w:t>
            </w:r>
          </w:p>
        </w:tc>
        <w:tc>
          <w:tcPr>
            <w:tcW w:w="1890" w:type="dxa"/>
            <w:shd w:val="clear" w:color="auto" w:fill="DBE5F1" w:themeFill="accent1" w:themeFillTint="33"/>
            <w:vAlign w:val="center"/>
          </w:tcPr>
          <w:p w:rsidR="00D4616C" w:rsidRPr="00227E09" w:rsidRDefault="00D4616C" w:rsidP="00227E09">
            <w:pPr>
              <w:spacing w:line="276" w:lineRule="auto"/>
              <w:jc w:val="center"/>
              <w:rPr>
                <w:lang w:val="en-GB"/>
              </w:rPr>
            </w:pPr>
            <w:r w:rsidRPr="00227E09">
              <w:rPr>
                <w:b/>
                <w:lang w:val="en-GB"/>
              </w:rPr>
              <w:t>5</w:t>
            </w:r>
          </w:p>
        </w:tc>
        <w:tc>
          <w:tcPr>
            <w:tcW w:w="2340" w:type="dxa"/>
            <w:shd w:val="clear" w:color="auto" w:fill="DBE5F1" w:themeFill="accent1" w:themeFillTint="33"/>
            <w:vAlign w:val="center"/>
          </w:tcPr>
          <w:p w:rsidR="00D4616C" w:rsidRDefault="00D4616C" w:rsidP="00227E09">
            <w:pPr>
              <w:spacing w:line="276" w:lineRule="auto"/>
              <w:jc w:val="center"/>
              <w:rPr>
                <w:b/>
                <w:lang w:val="en-GB"/>
              </w:rPr>
            </w:pPr>
            <w:r w:rsidRPr="00227E09">
              <w:rPr>
                <w:b/>
                <w:lang w:val="en-GB"/>
              </w:rPr>
              <w:t>4.2</w:t>
            </w:r>
          </w:p>
          <w:p w:rsidR="00D4616C" w:rsidRDefault="00D4616C" w:rsidP="00227E09">
            <w:pPr>
              <w:spacing w:line="276" w:lineRule="auto"/>
              <w:jc w:val="center"/>
              <w:rPr>
                <w:b/>
                <w:lang w:val="en-GB"/>
              </w:rPr>
            </w:pPr>
            <w:r w:rsidRPr="00227E09">
              <w:rPr>
                <w:b/>
                <w:lang w:val="en-GB"/>
              </w:rPr>
              <w:t>7</w:t>
            </w:r>
          </w:p>
          <w:p w:rsidR="00D4616C" w:rsidRPr="00227E09" w:rsidRDefault="00D4616C" w:rsidP="00227E09">
            <w:pPr>
              <w:spacing w:line="276" w:lineRule="auto"/>
              <w:jc w:val="center"/>
              <w:rPr>
                <w:lang w:val="en-GB"/>
              </w:rPr>
            </w:pPr>
            <w:r>
              <w:rPr>
                <w:b/>
                <w:lang w:val="en-GB"/>
              </w:rPr>
              <w:t>(8.1, 8.2, 8.3)</w:t>
            </w:r>
          </w:p>
        </w:tc>
        <w:tc>
          <w:tcPr>
            <w:tcW w:w="1890" w:type="dxa"/>
            <w:shd w:val="clear" w:color="auto" w:fill="DBE5F1" w:themeFill="accent1" w:themeFillTint="33"/>
            <w:vAlign w:val="center"/>
          </w:tcPr>
          <w:p w:rsidR="00D4616C" w:rsidRPr="00227E09" w:rsidRDefault="00D4616C" w:rsidP="00227E09">
            <w:pPr>
              <w:spacing w:line="276" w:lineRule="auto"/>
              <w:jc w:val="center"/>
              <w:rPr>
                <w:lang w:val="en-GB"/>
              </w:rPr>
            </w:pPr>
            <w:r w:rsidRPr="00227E09">
              <w:rPr>
                <w:b/>
                <w:lang w:val="en-GB"/>
              </w:rPr>
              <w:t>9</w:t>
            </w:r>
          </w:p>
        </w:tc>
      </w:tr>
    </w:tbl>
    <w:p w:rsidR="00717105" w:rsidRPr="005C50A6" w:rsidRDefault="00717105" w:rsidP="00717105">
      <w:pPr>
        <w:spacing w:after="0" w:line="360" w:lineRule="auto"/>
        <w:rPr>
          <w:b/>
          <w:lang w:val="en-GB"/>
        </w:rPr>
      </w:pPr>
    </w:p>
    <w:p w:rsidR="00717105" w:rsidRDefault="00710F3E" w:rsidP="00710F3E">
      <w:pPr>
        <w:pStyle w:val="Caption"/>
        <w:rPr>
          <w:lang w:val="en-GB"/>
        </w:rPr>
      </w:pPr>
      <w:bookmarkStart w:id="1" w:name="_Ref349909540"/>
      <w:r>
        <w:t xml:space="preserve">Figure </w:t>
      </w:r>
      <w:r w:rsidR="00E51DCE">
        <w:fldChar w:fldCharType="begin"/>
      </w:r>
      <w:r w:rsidR="00E51DCE">
        <w:instrText xml:space="preserve"> SEQ Figure \* ARABIC </w:instrText>
      </w:r>
      <w:r w:rsidR="00E51DCE">
        <w:fldChar w:fldCharType="separate"/>
      </w:r>
      <w:r>
        <w:rPr>
          <w:noProof/>
        </w:rPr>
        <w:t>1</w:t>
      </w:r>
      <w:r w:rsidR="00E51DCE">
        <w:rPr>
          <w:noProof/>
        </w:rPr>
        <w:fldChar w:fldCharType="end"/>
      </w:r>
      <w:bookmarkEnd w:id="1"/>
      <w:r w:rsidR="00227E09">
        <w:rPr>
          <w:lang w:val="en-GB"/>
        </w:rPr>
        <w:t xml:space="preserve"> - The reclassification between the old and new coding systems. The old codes corresponding to each combination of Precision and Feature Class are shown in the boxes.</w:t>
      </w:r>
    </w:p>
    <w:p w:rsidR="00710F3E" w:rsidRDefault="00710F3E" w:rsidP="00710F3E">
      <w:pPr>
        <w:pStyle w:val="Heading1"/>
        <w:rPr>
          <w:lang w:val="en-GB"/>
        </w:rPr>
      </w:pPr>
      <w:r>
        <w:rPr>
          <w:lang w:val="en-GB"/>
        </w:rPr>
        <w:t>Overlapping Codes</w:t>
      </w:r>
    </w:p>
    <w:p w:rsidR="00710F3E" w:rsidRDefault="00710F3E" w:rsidP="00710F3E">
      <w:pPr>
        <w:rPr>
          <w:lang w:val="en-GB"/>
        </w:rPr>
      </w:pPr>
      <w:r>
        <w:rPr>
          <w:lang w:val="en-GB"/>
        </w:rPr>
        <w:t xml:space="preserve">In </w:t>
      </w:r>
      <w:r>
        <w:rPr>
          <w:lang w:val="en-GB"/>
        </w:rPr>
        <w:fldChar w:fldCharType="begin"/>
      </w:r>
      <w:r>
        <w:rPr>
          <w:lang w:val="en-GB"/>
        </w:rPr>
        <w:instrText xml:space="preserve"> REF _Ref349909540 \h </w:instrText>
      </w:r>
      <w:r>
        <w:rPr>
          <w:lang w:val="en-GB"/>
        </w:rPr>
      </w:r>
      <w:r>
        <w:rPr>
          <w:lang w:val="en-GB"/>
        </w:rPr>
        <w:fldChar w:fldCharType="separate"/>
      </w:r>
      <w:r>
        <w:t xml:space="preserve">Figure </w:t>
      </w:r>
      <w:r>
        <w:rPr>
          <w:noProof/>
        </w:rPr>
        <w:t>1</w:t>
      </w:r>
      <w:r>
        <w:rPr>
          <w:lang w:val="en-GB"/>
        </w:rPr>
        <w:fldChar w:fldCharType="end"/>
      </w:r>
      <w:r>
        <w:rPr>
          <w:lang w:val="en-GB"/>
        </w:rPr>
        <w:t xml:space="preserve"> above, some of the old precision codes are in the same category, despite </w:t>
      </w:r>
      <w:r w:rsidR="00F207BD">
        <w:rPr>
          <w:lang w:val="en-GB"/>
        </w:rPr>
        <w:t>having been distinct under the previous system</w:t>
      </w:r>
      <w:r>
        <w:rPr>
          <w:lang w:val="en-GB"/>
        </w:rPr>
        <w:t xml:space="preserve"> (e.g. both 4.2 and 7 are considered to be “Class 3, Precision 2”). However, the precision of locations specified according to each of these overlapping codes will </w:t>
      </w:r>
      <w:r w:rsidR="001C72A4">
        <w:rPr>
          <w:lang w:val="en-GB"/>
        </w:rPr>
        <w:t>still be distinct. This is explained in the following sections.</w:t>
      </w:r>
    </w:p>
    <w:p w:rsidR="001C72A4" w:rsidRPr="001C72A4" w:rsidRDefault="001C72A4" w:rsidP="001C72A4">
      <w:pPr>
        <w:pStyle w:val="Heading2"/>
      </w:pPr>
      <w:r w:rsidRPr="001C72A4">
        <w:t>Codes: 3, 4.1, and 6</w:t>
      </w:r>
    </w:p>
    <w:p w:rsidR="001C72A4" w:rsidRDefault="001C72A4" w:rsidP="00710F3E">
      <w:pPr>
        <w:rPr>
          <w:lang w:val="en-GB"/>
        </w:rPr>
      </w:pPr>
      <w:r>
        <w:rPr>
          <w:lang w:val="en-GB"/>
        </w:rPr>
        <w:t>The old codes of 3</w:t>
      </w:r>
      <w:r w:rsidR="00F210E8">
        <w:rPr>
          <w:lang w:val="en-GB"/>
        </w:rPr>
        <w:t xml:space="preserve">, 4.1, and 6 </w:t>
      </w:r>
      <w:r w:rsidR="00D97F1A">
        <w:rPr>
          <w:lang w:val="en-GB"/>
        </w:rPr>
        <w:t>are now contained in the type “</w:t>
      </w:r>
      <w:r w:rsidR="00D97F1A" w:rsidRPr="00D97F1A">
        <w:rPr>
          <w:b/>
          <w:lang w:val="en-GB"/>
        </w:rPr>
        <w:t>Class 3/Precision 1</w:t>
      </w:r>
      <w:r w:rsidR="00D97F1A">
        <w:rPr>
          <w:lang w:val="en-GB"/>
        </w:rPr>
        <w:t xml:space="preserve">” (an administrative area that represents an exact specification for an activity segment). However, the distinction between 3, 4.1, and 6 will still be </w:t>
      </w:r>
      <w:r w:rsidR="00D97F1A">
        <w:rPr>
          <w:lang w:val="en-GB"/>
        </w:rPr>
        <w:lastRenderedPageBreak/>
        <w:t>preserved implicitly, because they represent different administrative levels. E.g. 3 is always an ADM2, 4.1 is always an ADM1, 6 is always a country, etc.</w:t>
      </w:r>
    </w:p>
    <w:p w:rsidR="00D97F1A" w:rsidRDefault="00D97F1A" w:rsidP="00D97F1A">
      <w:pPr>
        <w:pStyle w:val="Heading2"/>
      </w:pPr>
      <w:r>
        <w:t>Codes: 4.2 and 7</w:t>
      </w:r>
    </w:p>
    <w:p w:rsidR="00D97F1A" w:rsidRDefault="00D97F1A" w:rsidP="00710F3E">
      <w:pPr>
        <w:rPr>
          <w:bCs/>
          <w:lang w:val="en-GB"/>
        </w:rPr>
      </w:pPr>
      <w:r>
        <w:rPr>
          <w:lang w:val="en-GB"/>
        </w:rPr>
        <w:t xml:space="preserve">The old codes of 4.2 </w:t>
      </w:r>
      <w:r>
        <w:t xml:space="preserve">and 7 </w:t>
      </w:r>
      <w:r>
        <w:rPr>
          <w:bCs/>
          <w:lang w:val="en-GB"/>
        </w:rPr>
        <w:t>are now contained in the type “</w:t>
      </w:r>
      <w:r w:rsidRPr="00D97F1A">
        <w:rPr>
          <w:b/>
          <w:bCs/>
          <w:lang w:val="en-GB"/>
        </w:rPr>
        <w:t>Class 3/Precision 1</w:t>
      </w:r>
      <w:r>
        <w:rPr>
          <w:bCs/>
          <w:lang w:val="en-GB"/>
        </w:rPr>
        <w:t xml:space="preserve">” (an administrative area that represents an approximate specification for an activity segment). The distinction between 4.2 and 7 is still preserved, however, because 4.2 always represents an ADM1 while 7 always represents a country. </w:t>
      </w:r>
    </w:p>
    <w:p w:rsidR="00D97F1A" w:rsidRDefault="00D97F1A" w:rsidP="00F210E8">
      <w:pPr>
        <w:pStyle w:val="Heading2"/>
      </w:pPr>
      <w:r>
        <w:t xml:space="preserve">Old Codes: </w:t>
      </w:r>
      <w:r w:rsidR="00D4616C">
        <w:t xml:space="preserve">8.1, </w:t>
      </w:r>
      <w:r w:rsidR="00F210E8">
        <w:t>8.2</w:t>
      </w:r>
      <w:r w:rsidR="00D4616C">
        <w:t>, and 8.3</w:t>
      </w:r>
    </w:p>
    <w:p w:rsidR="00F210E8" w:rsidRDefault="00D4616C" w:rsidP="00710F3E">
      <w:pPr>
        <w:rPr>
          <w:lang w:val="en-GB"/>
        </w:rPr>
      </w:pPr>
      <w:r>
        <w:rPr>
          <w:lang w:val="en-GB"/>
        </w:rPr>
        <w:t xml:space="preserve">The old codes of 8.1, 8.2, and 8.3 are now being replaced with the appropriate specification </w:t>
      </w:r>
      <w:r w:rsidR="004D2D6D">
        <w:rPr>
          <w:lang w:val="en-GB"/>
        </w:rPr>
        <w:t xml:space="preserve">based on the new feature class and precision codes. Some of the “channel of delivery” information will be lost from the specific &lt;location&gt; elements, but this was considered appropriate given that this information is already available in the IATI </w:t>
      </w:r>
      <w:r w:rsidR="0055655B">
        <w:rPr>
          <w:lang w:val="en-GB"/>
        </w:rPr>
        <w:t xml:space="preserve">standard through the &lt;aid-type&gt;, &lt;participating-org&gt;, &lt;finance-type&gt;, and &lt;tied-status&gt; elements. </w:t>
      </w:r>
    </w:p>
    <w:p w:rsidR="00D4616C" w:rsidRDefault="00D4616C" w:rsidP="00D4616C">
      <w:pPr>
        <w:pStyle w:val="Heading1"/>
        <w:rPr>
          <w:lang w:val="en-GB"/>
        </w:rPr>
      </w:pPr>
      <w:r>
        <w:rPr>
          <w:lang w:val="en-GB"/>
        </w:rPr>
        <w:t>Other Issues</w:t>
      </w:r>
    </w:p>
    <w:p w:rsidR="00D4616C" w:rsidRDefault="00D4616C" w:rsidP="00D4616C">
      <w:pPr>
        <w:pStyle w:val="Heading2"/>
      </w:pPr>
      <w:r>
        <w:t>“Precision”</w:t>
      </w:r>
    </w:p>
    <w:p w:rsidR="00D4616C" w:rsidRDefault="00D4616C" w:rsidP="00710F3E">
      <w:pPr>
        <w:rPr>
          <w:lang w:val="en-GB"/>
        </w:rPr>
      </w:pPr>
      <w:r>
        <w:rPr>
          <w:lang w:val="en-GB"/>
        </w:rPr>
        <w:t xml:space="preserve">The word “Precision”, as it is being used in the above context, is no longer completely accurate. The difference between precision 1 and precision 2 does not relate to the specificity of an exact location, but rather the quality of the information and process underlying that location’s coding. </w:t>
      </w:r>
    </w:p>
    <w:p w:rsidR="00D4616C" w:rsidRDefault="00D4616C" w:rsidP="00710F3E">
      <w:pPr>
        <w:rPr>
          <w:lang w:val="en-GB"/>
        </w:rPr>
      </w:pPr>
      <w:r>
        <w:rPr>
          <w:lang w:val="en-GB"/>
        </w:rPr>
        <w:t xml:space="preserve">For example, imagine a capacity building support project to send the District Education Manager in an ADM2 District on a skills building course. That project is presumably meant to support the quality of education support in the entire district. However, is will </w:t>
      </w:r>
      <w:r>
        <w:rPr>
          <w:b/>
          <w:lang w:val="en-GB"/>
        </w:rPr>
        <w:t>never</w:t>
      </w:r>
      <w:r>
        <w:rPr>
          <w:lang w:val="en-GB"/>
        </w:rPr>
        <w:t xml:space="preserve"> be possible to know which specific sub-ADM2 locations are impacted by the director’s increased capacity. Thus the only &lt;location&gt; element which should be provided should be for the ADM2 district, coded Class 3, Precision 1. The &lt;location&gt; is given Precision 1 because it is the best possible specification for that activity - no realistically attainable amount of additional information could allow the publisher to code the activity’s locations with more specificity.</w:t>
      </w:r>
    </w:p>
    <w:p w:rsidR="00D4616C" w:rsidRDefault="00D4616C" w:rsidP="00710F3E">
      <w:pPr>
        <w:rPr>
          <w:lang w:val="en-GB"/>
        </w:rPr>
      </w:pPr>
      <w:r>
        <w:rPr>
          <w:lang w:val="en-GB"/>
        </w:rPr>
        <w:t xml:space="preserve">As a comparative example, imagine an activity </w:t>
      </w:r>
      <w:r>
        <w:rPr>
          <w:lang w:val="en-GB"/>
        </w:rPr>
        <w:t>to construct two new schools</w:t>
      </w:r>
      <w:r>
        <w:rPr>
          <w:lang w:val="en-GB"/>
        </w:rPr>
        <w:t xml:space="preserve"> in the same ADM2 district. Ideally the activity would have two &lt;location&gt; elements - one for each school. However, if the specific locations of the schools were unavailable, the publisher could instead provide a &lt;location&gt; element for the ADM2 district, coded Class 3 Precision 2. The reason the &lt;location&gt; would be coded Precision 2 is because it would be very reasonable for a publisher to supply more specific information, but in this case, for whatever reason, that information isn’t available. </w:t>
      </w:r>
    </w:p>
    <w:p w:rsidR="00D4616C" w:rsidRDefault="00D4616C" w:rsidP="00710F3E">
      <w:pPr>
        <w:rPr>
          <w:lang w:val="en-GB"/>
        </w:rPr>
      </w:pPr>
      <w:r>
        <w:rPr>
          <w:lang w:val="en-GB"/>
        </w:rPr>
        <w:t>Thus, in effect, the “precision” measure is actually an indicative measure of how accurate and complete the geographic information associated with an activity is, not how “precise” an individual location is in the traditional sense. It would therefore be advisable to find a suitable word to use in the place of “precision” which has closer connotations to what is actually being described.</w:t>
      </w:r>
    </w:p>
    <w:p w:rsidR="00D4616C" w:rsidRDefault="00D4616C" w:rsidP="00710F3E">
      <w:pPr>
        <w:rPr>
          <w:lang w:val="en-GB"/>
        </w:rPr>
      </w:pPr>
      <w:r>
        <w:rPr>
          <w:lang w:val="en-GB"/>
        </w:rPr>
        <w:t>Note: all of this is inherited from earlier distinctions in the precision code system, such as:</w:t>
      </w:r>
    </w:p>
    <w:p w:rsidR="00D4616C" w:rsidRDefault="00D4616C" w:rsidP="00D4616C">
      <w:pPr>
        <w:pStyle w:val="NoSpacing"/>
        <w:ind w:left="360"/>
        <w:rPr>
          <w:lang w:val="en-GB"/>
        </w:rPr>
      </w:pPr>
      <w:r>
        <w:rPr>
          <w:lang w:val="en-GB"/>
        </w:rPr>
        <w:t xml:space="preserve">6. </w:t>
      </w:r>
      <w:r>
        <w:rPr>
          <w:lang w:val="en-GB"/>
        </w:rPr>
        <w:t xml:space="preserve">The location can </w:t>
      </w:r>
      <w:r w:rsidRPr="00840919">
        <w:rPr>
          <w:lang w:val="en-GB"/>
        </w:rPr>
        <w:t xml:space="preserve">only be </w:t>
      </w:r>
      <w:r>
        <w:rPr>
          <w:lang w:val="en-GB"/>
        </w:rPr>
        <w:t xml:space="preserve">specified to the national level (or dependent political entity that is geographically analogous to a country). </w:t>
      </w:r>
    </w:p>
    <w:p w:rsidR="00D4616C" w:rsidRDefault="00D4616C" w:rsidP="00D4616C">
      <w:pPr>
        <w:pStyle w:val="NoSpacing"/>
        <w:ind w:left="360"/>
        <w:rPr>
          <w:lang w:val="en-GB"/>
        </w:rPr>
      </w:pPr>
    </w:p>
    <w:p w:rsidR="00D4616C" w:rsidRPr="00ED0D74" w:rsidRDefault="00D4616C" w:rsidP="00D4616C">
      <w:pPr>
        <w:pStyle w:val="NoSpacing"/>
        <w:ind w:left="360"/>
        <w:rPr>
          <w:bCs/>
          <w:lang w:val="en-GB"/>
        </w:rPr>
      </w:pPr>
      <w:r>
        <w:rPr>
          <w:bCs/>
          <w:lang w:val="en-GB"/>
        </w:rPr>
        <w:t xml:space="preserve">7. </w:t>
      </w:r>
      <w:r w:rsidRPr="00ED0D74">
        <w:rPr>
          <w:bCs/>
          <w:lang w:val="en-GB"/>
        </w:rPr>
        <w:t xml:space="preserve">The </w:t>
      </w:r>
      <w:r>
        <w:rPr>
          <w:bCs/>
          <w:lang w:val="en-GB"/>
        </w:rPr>
        <w:t>country coordinates are entered to reflect that sub-country information is unavailable (may be national or sub-national).</w:t>
      </w:r>
    </w:p>
    <w:p w:rsidR="00D4616C" w:rsidRDefault="00D4616C" w:rsidP="00D4616C">
      <w:pPr>
        <w:pStyle w:val="NoSpacing"/>
        <w:rPr>
          <w:lang w:val="en-GB"/>
        </w:rPr>
      </w:pPr>
    </w:p>
    <w:p w:rsidR="00D4616C" w:rsidRPr="00D4616C" w:rsidRDefault="00D4616C" w:rsidP="00D4616C">
      <w:pPr>
        <w:rPr>
          <w:lang w:val="en-GB"/>
        </w:rPr>
      </w:pPr>
    </w:p>
    <w:sectPr w:rsidR="00D4616C" w:rsidRPr="00D4616C" w:rsidSect="00227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54B"/>
    <w:multiLevelType w:val="hybridMultilevel"/>
    <w:tmpl w:val="7C18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60579E"/>
    <w:multiLevelType w:val="multilevel"/>
    <w:tmpl w:val="B882E7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090F11"/>
    <w:multiLevelType w:val="hybridMultilevel"/>
    <w:tmpl w:val="563A896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B1668"/>
    <w:multiLevelType w:val="hybridMultilevel"/>
    <w:tmpl w:val="7E2CC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967FF"/>
    <w:multiLevelType w:val="hybridMultilevel"/>
    <w:tmpl w:val="7C18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73"/>
    <w:rsid w:val="000008F6"/>
    <w:rsid w:val="00002D11"/>
    <w:rsid w:val="00007A41"/>
    <w:rsid w:val="000147F5"/>
    <w:rsid w:val="00014EED"/>
    <w:rsid w:val="0002120F"/>
    <w:rsid w:val="00030744"/>
    <w:rsid w:val="00035542"/>
    <w:rsid w:val="00037DB2"/>
    <w:rsid w:val="00072FB1"/>
    <w:rsid w:val="00076C39"/>
    <w:rsid w:val="00081590"/>
    <w:rsid w:val="00083D1F"/>
    <w:rsid w:val="00086D3C"/>
    <w:rsid w:val="00091736"/>
    <w:rsid w:val="00094647"/>
    <w:rsid w:val="000955CA"/>
    <w:rsid w:val="000C3E34"/>
    <w:rsid w:val="000C60FC"/>
    <w:rsid w:val="000D1009"/>
    <w:rsid w:val="000D1868"/>
    <w:rsid w:val="000D5129"/>
    <w:rsid w:val="000F6FB3"/>
    <w:rsid w:val="00100655"/>
    <w:rsid w:val="0010438F"/>
    <w:rsid w:val="00106ABE"/>
    <w:rsid w:val="00111576"/>
    <w:rsid w:val="00116794"/>
    <w:rsid w:val="00132779"/>
    <w:rsid w:val="00132FBE"/>
    <w:rsid w:val="00133BD5"/>
    <w:rsid w:val="00133C7C"/>
    <w:rsid w:val="00137AFC"/>
    <w:rsid w:val="001433C8"/>
    <w:rsid w:val="00146F1F"/>
    <w:rsid w:val="0015425B"/>
    <w:rsid w:val="00161870"/>
    <w:rsid w:val="00164082"/>
    <w:rsid w:val="0017270D"/>
    <w:rsid w:val="00175731"/>
    <w:rsid w:val="00181C27"/>
    <w:rsid w:val="00186D75"/>
    <w:rsid w:val="001939D1"/>
    <w:rsid w:val="00193E05"/>
    <w:rsid w:val="001A23C1"/>
    <w:rsid w:val="001C3DF0"/>
    <w:rsid w:val="001C3F42"/>
    <w:rsid w:val="001C72A4"/>
    <w:rsid w:val="001D28B3"/>
    <w:rsid w:val="001D68A9"/>
    <w:rsid w:val="001E7B9B"/>
    <w:rsid w:val="001F6BD1"/>
    <w:rsid w:val="001F70E2"/>
    <w:rsid w:val="0020001B"/>
    <w:rsid w:val="00200111"/>
    <w:rsid w:val="00206039"/>
    <w:rsid w:val="002066B8"/>
    <w:rsid w:val="002071A8"/>
    <w:rsid w:val="00216301"/>
    <w:rsid w:val="00216AD5"/>
    <w:rsid w:val="00227E09"/>
    <w:rsid w:val="00230E68"/>
    <w:rsid w:val="0023443B"/>
    <w:rsid w:val="00235559"/>
    <w:rsid w:val="002365F9"/>
    <w:rsid w:val="002379DA"/>
    <w:rsid w:val="00241BF5"/>
    <w:rsid w:val="002469CF"/>
    <w:rsid w:val="00250983"/>
    <w:rsid w:val="002546EC"/>
    <w:rsid w:val="00254E73"/>
    <w:rsid w:val="002573A8"/>
    <w:rsid w:val="00260063"/>
    <w:rsid w:val="00260CA7"/>
    <w:rsid w:val="002639B2"/>
    <w:rsid w:val="0026590B"/>
    <w:rsid w:val="002719D0"/>
    <w:rsid w:val="00272F70"/>
    <w:rsid w:val="00274479"/>
    <w:rsid w:val="00276F96"/>
    <w:rsid w:val="002855C2"/>
    <w:rsid w:val="00287DFE"/>
    <w:rsid w:val="00292205"/>
    <w:rsid w:val="00293A02"/>
    <w:rsid w:val="00294407"/>
    <w:rsid w:val="002B0193"/>
    <w:rsid w:val="002B0EA6"/>
    <w:rsid w:val="002B57CA"/>
    <w:rsid w:val="002C5D6F"/>
    <w:rsid w:val="002D1C58"/>
    <w:rsid w:val="002D58D7"/>
    <w:rsid w:val="002D5D98"/>
    <w:rsid w:val="002E0A99"/>
    <w:rsid w:val="002E2447"/>
    <w:rsid w:val="002E2DA8"/>
    <w:rsid w:val="002F1688"/>
    <w:rsid w:val="002F761B"/>
    <w:rsid w:val="00300652"/>
    <w:rsid w:val="00300F28"/>
    <w:rsid w:val="00316523"/>
    <w:rsid w:val="003246DF"/>
    <w:rsid w:val="00325F78"/>
    <w:rsid w:val="003277E4"/>
    <w:rsid w:val="00335D40"/>
    <w:rsid w:val="0033648E"/>
    <w:rsid w:val="003455B0"/>
    <w:rsid w:val="003527CD"/>
    <w:rsid w:val="003632A8"/>
    <w:rsid w:val="00363893"/>
    <w:rsid w:val="00375A5E"/>
    <w:rsid w:val="003833D7"/>
    <w:rsid w:val="00384C39"/>
    <w:rsid w:val="00384D74"/>
    <w:rsid w:val="00390366"/>
    <w:rsid w:val="003925A5"/>
    <w:rsid w:val="00392E97"/>
    <w:rsid w:val="00395E01"/>
    <w:rsid w:val="003B0802"/>
    <w:rsid w:val="003B6773"/>
    <w:rsid w:val="003C0791"/>
    <w:rsid w:val="003C4711"/>
    <w:rsid w:val="003D04C9"/>
    <w:rsid w:val="003D3351"/>
    <w:rsid w:val="003D3E78"/>
    <w:rsid w:val="003E4675"/>
    <w:rsid w:val="003E5AB7"/>
    <w:rsid w:val="003F4480"/>
    <w:rsid w:val="003F4487"/>
    <w:rsid w:val="003F60B6"/>
    <w:rsid w:val="00400884"/>
    <w:rsid w:val="004009A9"/>
    <w:rsid w:val="00401BE2"/>
    <w:rsid w:val="0040378F"/>
    <w:rsid w:val="004042DA"/>
    <w:rsid w:val="0040431C"/>
    <w:rsid w:val="004061DD"/>
    <w:rsid w:val="0041131F"/>
    <w:rsid w:val="00415253"/>
    <w:rsid w:val="00420A6D"/>
    <w:rsid w:val="004257D7"/>
    <w:rsid w:val="004265B6"/>
    <w:rsid w:val="0042667F"/>
    <w:rsid w:val="0042771B"/>
    <w:rsid w:val="00440E9F"/>
    <w:rsid w:val="00460105"/>
    <w:rsid w:val="00460C80"/>
    <w:rsid w:val="00486671"/>
    <w:rsid w:val="00486AFB"/>
    <w:rsid w:val="0049057E"/>
    <w:rsid w:val="004925E3"/>
    <w:rsid w:val="00493D7F"/>
    <w:rsid w:val="004A56DA"/>
    <w:rsid w:val="004A688B"/>
    <w:rsid w:val="004A6C23"/>
    <w:rsid w:val="004D2D6D"/>
    <w:rsid w:val="004D444F"/>
    <w:rsid w:val="004D5351"/>
    <w:rsid w:val="004E0AAC"/>
    <w:rsid w:val="004E4907"/>
    <w:rsid w:val="004E5D74"/>
    <w:rsid w:val="004E611B"/>
    <w:rsid w:val="004F7808"/>
    <w:rsid w:val="00501440"/>
    <w:rsid w:val="00501E1B"/>
    <w:rsid w:val="005066BB"/>
    <w:rsid w:val="00523261"/>
    <w:rsid w:val="00523E0D"/>
    <w:rsid w:val="005318B1"/>
    <w:rsid w:val="00534E83"/>
    <w:rsid w:val="00543F11"/>
    <w:rsid w:val="00546E45"/>
    <w:rsid w:val="00553804"/>
    <w:rsid w:val="0055655B"/>
    <w:rsid w:val="00557379"/>
    <w:rsid w:val="005574C8"/>
    <w:rsid w:val="005605E2"/>
    <w:rsid w:val="00562BDD"/>
    <w:rsid w:val="005674F4"/>
    <w:rsid w:val="005710A3"/>
    <w:rsid w:val="00573C73"/>
    <w:rsid w:val="00584578"/>
    <w:rsid w:val="005A0463"/>
    <w:rsid w:val="005A3F28"/>
    <w:rsid w:val="005D0AC2"/>
    <w:rsid w:val="005D4234"/>
    <w:rsid w:val="005D5387"/>
    <w:rsid w:val="005D7D51"/>
    <w:rsid w:val="005E04F1"/>
    <w:rsid w:val="005F0970"/>
    <w:rsid w:val="00602758"/>
    <w:rsid w:val="0061168B"/>
    <w:rsid w:val="00613094"/>
    <w:rsid w:val="00620332"/>
    <w:rsid w:val="00636A21"/>
    <w:rsid w:val="00645586"/>
    <w:rsid w:val="00646002"/>
    <w:rsid w:val="00650DA5"/>
    <w:rsid w:val="006612C9"/>
    <w:rsid w:val="006717F0"/>
    <w:rsid w:val="00676D46"/>
    <w:rsid w:val="00682C52"/>
    <w:rsid w:val="00682D62"/>
    <w:rsid w:val="00686D34"/>
    <w:rsid w:val="00694F73"/>
    <w:rsid w:val="006A33D4"/>
    <w:rsid w:val="006B19DE"/>
    <w:rsid w:val="006B5912"/>
    <w:rsid w:val="006B669D"/>
    <w:rsid w:val="006B7FD8"/>
    <w:rsid w:val="006C2CB0"/>
    <w:rsid w:val="006D4DA4"/>
    <w:rsid w:val="006E36B7"/>
    <w:rsid w:val="006F14E8"/>
    <w:rsid w:val="006F22D6"/>
    <w:rsid w:val="006F3F5B"/>
    <w:rsid w:val="006F5A2E"/>
    <w:rsid w:val="007060C0"/>
    <w:rsid w:val="00706EFD"/>
    <w:rsid w:val="00710F3E"/>
    <w:rsid w:val="007165AB"/>
    <w:rsid w:val="00717105"/>
    <w:rsid w:val="0072705F"/>
    <w:rsid w:val="00727B2D"/>
    <w:rsid w:val="007326AB"/>
    <w:rsid w:val="007402D4"/>
    <w:rsid w:val="00745790"/>
    <w:rsid w:val="00767917"/>
    <w:rsid w:val="00773D53"/>
    <w:rsid w:val="00785D0F"/>
    <w:rsid w:val="00787578"/>
    <w:rsid w:val="00793C23"/>
    <w:rsid w:val="007967E9"/>
    <w:rsid w:val="007B1514"/>
    <w:rsid w:val="007D3950"/>
    <w:rsid w:val="007E73E3"/>
    <w:rsid w:val="007F1701"/>
    <w:rsid w:val="007F4B2E"/>
    <w:rsid w:val="00803D78"/>
    <w:rsid w:val="00805F0E"/>
    <w:rsid w:val="00806FAD"/>
    <w:rsid w:val="00807238"/>
    <w:rsid w:val="0081051B"/>
    <w:rsid w:val="0081307B"/>
    <w:rsid w:val="00817BDE"/>
    <w:rsid w:val="00822F56"/>
    <w:rsid w:val="00827246"/>
    <w:rsid w:val="00831C8D"/>
    <w:rsid w:val="00832862"/>
    <w:rsid w:val="00832B5F"/>
    <w:rsid w:val="00834B3B"/>
    <w:rsid w:val="00834E8D"/>
    <w:rsid w:val="008429FD"/>
    <w:rsid w:val="00854C81"/>
    <w:rsid w:val="00857D40"/>
    <w:rsid w:val="00860E3C"/>
    <w:rsid w:val="00866215"/>
    <w:rsid w:val="008663FE"/>
    <w:rsid w:val="00876D71"/>
    <w:rsid w:val="00890025"/>
    <w:rsid w:val="008903D5"/>
    <w:rsid w:val="00891673"/>
    <w:rsid w:val="008945A9"/>
    <w:rsid w:val="0089572A"/>
    <w:rsid w:val="008A2BC7"/>
    <w:rsid w:val="008B2CDD"/>
    <w:rsid w:val="008B7546"/>
    <w:rsid w:val="008C17FF"/>
    <w:rsid w:val="008C5E10"/>
    <w:rsid w:val="008D2050"/>
    <w:rsid w:val="008D31C2"/>
    <w:rsid w:val="008E1656"/>
    <w:rsid w:val="008E493E"/>
    <w:rsid w:val="008F1054"/>
    <w:rsid w:val="008F36CE"/>
    <w:rsid w:val="008F52E7"/>
    <w:rsid w:val="00917846"/>
    <w:rsid w:val="00917F09"/>
    <w:rsid w:val="00931903"/>
    <w:rsid w:val="0093324F"/>
    <w:rsid w:val="009421A9"/>
    <w:rsid w:val="0095538E"/>
    <w:rsid w:val="00955B94"/>
    <w:rsid w:val="00960AFE"/>
    <w:rsid w:val="00963C97"/>
    <w:rsid w:val="009654EF"/>
    <w:rsid w:val="009663A0"/>
    <w:rsid w:val="00967476"/>
    <w:rsid w:val="009733D7"/>
    <w:rsid w:val="00973F4B"/>
    <w:rsid w:val="00973F9E"/>
    <w:rsid w:val="00981FB5"/>
    <w:rsid w:val="00987B24"/>
    <w:rsid w:val="00994056"/>
    <w:rsid w:val="00995993"/>
    <w:rsid w:val="009A0FA5"/>
    <w:rsid w:val="009B4848"/>
    <w:rsid w:val="009B6790"/>
    <w:rsid w:val="009B7C6F"/>
    <w:rsid w:val="009C07AA"/>
    <w:rsid w:val="009D7C20"/>
    <w:rsid w:val="009E3D26"/>
    <w:rsid w:val="009E4075"/>
    <w:rsid w:val="009E45BB"/>
    <w:rsid w:val="009F5F1A"/>
    <w:rsid w:val="00A127CC"/>
    <w:rsid w:val="00A15196"/>
    <w:rsid w:val="00A15303"/>
    <w:rsid w:val="00A21AC4"/>
    <w:rsid w:val="00A2535D"/>
    <w:rsid w:val="00A25363"/>
    <w:rsid w:val="00A30F2E"/>
    <w:rsid w:val="00A36C11"/>
    <w:rsid w:val="00A41FFC"/>
    <w:rsid w:val="00A471B0"/>
    <w:rsid w:val="00A47A40"/>
    <w:rsid w:val="00A548BF"/>
    <w:rsid w:val="00A54D33"/>
    <w:rsid w:val="00A63DAF"/>
    <w:rsid w:val="00A716B4"/>
    <w:rsid w:val="00A71EE3"/>
    <w:rsid w:val="00A747DD"/>
    <w:rsid w:val="00A80D8F"/>
    <w:rsid w:val="00A84AA9"/>
    <w:rsid w:val="00A9382B"/>
    <w:rsid w:val="00A96AF0"/>
    <w:rsid w:val="00AA7C43"/>
    <w:rsid w:val="00AB2BAF"/>
    <w:rsid w:val="00AB6036"/>
    <w:rsid w:val="00AC03AD"/>
    <w:rsid w:val="00AC3760"/>
    <w:rsid w:val="00AC40C1"/>
    <w:rsid w:val="00AE2800"/>
    <w:rsid w:val="00AE29F0"/>
    <w:rsid w:val="00AF3469"/>
    <w:rsid w:val="00B019B9"/>
    <w:rsid w:val="00B02B98"/>
    <w:rsid w:val="00B035B5"/>
    <w:rsid w:val="00B062DB"/>
    <w:rsid w:val="00B1093B"/>
    <w:rsid w:val="00B21EE6"/>
    <w:rsid w:val="00B223E2"/>
    <w:rsid w:val="00B2259B"/>
    <w:rsid w:val="00B26159"/>
    <w:rsid w:val="00B40C5D"/>
    <w:rsid w:val="00B51FBD"/>
    <w:rsid w:val="00B7057B"/>
    <w:rsid w:val="00B72977"/>
    <w:rsid w:val="00B75B78"/>
    <w:rsid w:val="00B76148"/>
    <w:rsid w:val="00B86021"/>
    <w:rsid w:val="00B9383B"/>
    <w:rsid w:val="00BA0218"/>
    <w:rsid w:val="00BA4538"/>
    <w:rsid w:val="00BA6C4A"/>
    <w:rsid w:val="00BB1D65"/>
    <w:rsid w:val="00BB5A88"/>
    <w:rsid w:val="00BB5BC3"/>
    <w:rsid w:val="00BE7793"/>
    <w:rsid w:val="00C13882"/>
    <w:rsid w:val="00C20CAB"/>
    <w:rsid w:val="00C228DC"/>
    <w:rsid w:val="00C265FD"/>
    <w:rsid w:val="00C27ECA"/>
    <w:rsid w:val="00C41621"/>
    <w:rsid w:val="00C418C5"/>
    <w:rsid w:val="00C45EAD"/>
    <w:rsid w:val="00C5040E"/>
    <w:rsid w:val="00C50FE5"/>
    <w:rsid w:val="00C52D06"/>
    <w:rsid w:val="00C53989"/>
    <w:rsid w:val="00C54247"/>
    <w:rsid w:val="00C717C0"/>
    <w:rsid w:val="00C72EBB"/>
    <w:rsid w:val="00C76C5E"/>
    <w:rsid w:val="00C8365E"/>
    <w:rsid w:val="00C8593D"/>
    <w:rsid w:val="00C875C3"/>
    <w:rsid w:val="00C9067D"/>
    <w:rsid w:val="00C93B83"/>
    <w:rsid w:val="00CA2C8D"/>
    <w:rsid w:val="00CA4CC8"/>
    <w:rsid w:val="00CB3DDB"/>
    <w:rsid w:val="00CB4B59"/>
    <w:rsid w:val="00CC4D39"/>
    <w:rsid w:val="00CC777B"/>
    <w:rsid w:val="00CD1716"/>
    <w:rsid w:val="00CD22B5"/>
    <w:rsid w:val="00CD38BD"/>
    <w:rsid w:val="00CD5368"/>
    <w:rsid w:val="00CD6C3E"/>
    <w:rsid w:val="00CE2E74"/>
    <w:rsid w:val="00CE5228"/>
    <w:rsid w:val="00CF3473"/>
    <w:rsid w:val="00D11DC5"/>
    <w:rsid w:val="00D1374D"/>
    <w:rsid w:val="00D14857"/>
    <w:rsid w:val="00D204A2"/>
    <w:rsid w:val="00D266F2"/>
    <w:rsid w:val="00D4616C"/>
    <w:rsid w:val="00D53E2C"/>
    <w:rsid w:val="00D55990"/>
    <w:rsid w:val="00D567DE"/>
    <w:rsid w:val="00D66600"/>
    <w:rsid w:val="00D73127"/>
    <w:rsid w:val="00D8780B"/>
    <w:rsid w:val="00D97F1A"/>
    <w:rsid w:val="00DA07FD"/>
    <w:rsid w:val="00DB673A"/>
    <w:rsid w:val="00DC3C77"/>
    <w:rsid w:val="00DC53B2"/>
    <w:rsid w:val="00DD02AF"/>
    <w:rsid w:val="00DD40D7"/>
    <w:rsid w:val="00DD710A"/>
    <w:rsid w:val="00DE7EC5"/>
    <w:rsid w:val="00DF6FE9"/>
    <w:rsid w:val="00E054FD"/>
    <w:rsid w:val="00E13517"/>
    <w:rsid w:val="00E13B9F"/>
    <w:rsid w:val="00E14F7D"/>
    <w:rsid w:val="00E15C0B"/>
    <w:rsid w:val="00E42AB2"/>
    <w:rsid w:val="00E4330C"/>
    <w:rsid w:val="00E465DE"/>
    <w:rsid w:val="00E51DCE"/>
    <w:rsid w:val="00E5687D"/>
    <w:rsid w:val="00E631BD"/>
    <w:rsid w:val="00E664D1"/>
    <w:rsid w:val="00E70414"/>
    <w:rsid w:val="00E7414F"/>
    <w:rsid w:val="00E74777"/>
    <w:rsid w:val="00E74A56"/>
    <w:rsid w:val="00E80E1E"/>
    <w:rsid w:val="00E87906"/>
    <w:rsid w:val="00E91EAD"/>
    <w:rsid w:val="00E95B80"/>
    <w:rsid w:val="00EA2657"/>
    <w:rsid w:val="00EA4587"/>
    <w:rsid w:val="00EB1673"/>
    <w:rsid w:val="00EB3734"/>
    <w:rsid w:val="00EB3EFA"/>
    <w:rsid w:val="00EB4E8F"/>
    <w:rsid w:val="00EB729E"/>
    <w:rsid w:val="00EC58F4"/>
    <w:rsid w:val="00ED0704"/>
    <w:rsid w:val="00ED2EA5"/>
    <w:rsid w:val="00ED454A"/>
    <w:rsid w:val="00ED53D9"/>
    <w:rsid w:val="00ED5BAE"/>
    <w:rsid w:val="00EF040E"/>
    <w:rsid w:val="00EF09FC"/>
    <w:rsid w:val="00F0578D"/>
    <w:rsid w:val="00F12736"/>
    <w:rsid w:val="00F13B3C"/>
    <w:rsid w:val="00F207BD"/>
    <w:rsid w:val="00F210E8"/>
    <w:rsid w:val="00F233B5"/>
    <w:rsid w:val="00F237D6"/>
    <w:rsid w:val="00F33B97"/>
    <w:rsid w:val="00F3608A"/>
    <w:rsid w:val="00F41B84"/>
    <w:rsid w:val="00F45FB1"/>
    <w:rsid w:val="00F5219E"/>
    <w:rsid w:val="00F54641"/>
    <w:rsid w:val="00F54BD9"/>
    <w:rsid w:val="00F62FB7"/>
    <w:rsid w:val="00F84B30"/>
    <w:rsid w:val="00F855EF"/>
    <w:rsid w:val="00F8613E"/>
    <w:rsid w:val="00FA0C99"/>
    <w:rsid w:val="00FA5675"/>
    <w:rsid w:val="00FA60DA"/>
    <w:rsid w:val="00FA6857"/>
    <w:rsid w:val="00FB7761"/>
    <w:rsid w:val="00FC1D8B"/>
    <w:rsid w:val="00FC5593"/>
    <w:rsid w:val="00FD7477"/>
    <w:rsid w:val="00FE3608"/>
    <w:rsid w:val="00FE4068"/>
    <w:rsid w:val="00FE4D72"/>
    <w:rsid w:val="00FF0C81"/>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773"/>
    <w:pPr>
      <w:keepNext/>
      <w:keepLines/>
      <w:shd w:val="clear" w:color="auto" w:fill="0F243E" w:themeFill="text2" w:themeFillShade="80"/>
      <w:tabs>
        <w:tab w:val="left" w:pos="3330"/>
      </w:tabs>
      <w:spacing w:before="120" w:after="12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1C72A4"/>
    <w:pPr>
      <w:keepNext/>
      <w:keepLines/>
      <w:spacing w:before="200" w:after="0"/>
      <w:outlineLvl w:val="1"/>
    </w:pPr>
    <w:rPr>
      <w:rFonts w:asciiTheme="majorHAnsi" w:eastAsiaTheme="majorEastAsia" w:hAnsiTheme="majorHAnsi" w:cstheme="majorBidi"/>
      <w:b/>
      <w:bCs/>
      <w:color w:val="4F81BD" w:themeColor="accent1"/>
      <w:sz w:val="26"/>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67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7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773"/>
    <w:rPr>
      <w:rFonts w:asciiTheme="majorHAnsi" w:eastAsiaTheme="majorEastAsia" w:hAnsiTheme="majorHAnsi" w:cstheme="majorBidi"/>
      <w:b/>
      <w:bCs/>
      <w:color w:val="FFFFFF" w:themeColor="background1"/>
      <w:sz w:val="28"/>
      <w:szCs w:val="28"/>
      <w:shd w:val="clear" w:color="auto" w:fill="0F243E" w:themeFill="text2" w:themeFillShade="80"/>
    </w:rPr>
  </w:style>
  <w:style w:type="paragraph" w:styleId="ListParagraph">
    <w:name w:val="List Paragraph"/>
    <w:basedOn w:val="Normal"/>
    <w:uiPriority w:val="34"/>
    <w:qFormat/>
    <w:rsid w:val="003B6773"/>
    <w:pPr>
      <w:ind w:left="720"/>
      <w:contextualSpacing/>
    </w:pPr>
  </w:style>
  <w:style w:type="table" w:styleId="TableGrid">
    <w:name w:val="Table Grid"/>
    <w:basedOn w:val="TableNormal"/>
    <w:uiPriority w:val="59"/>
    <w:rsid w:val="0071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E09"/>
    <w:pPr>
      <w:spacing w:after="0" w:line="240" w:lineRule="auto"/>
    </w:pPr>
  </w:style>
  <w:style w:type="paragraph" w:styleId="Caption">
    <w:name w:val="caption"/>
    <w:basedOn w:val="Normal"/>
    <w:next w:val="Normal"/>
    <w:uiPriority w:val="35"/>
    <w:unhideWhenUsed/>
    <w:qFormat/>
    <w:rsid w:val="00710F3E"/>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1C72A4"/>
    <w:rPr>
      <w:rFonts w:asciiTheme="majorHAnsi" w:eastAsiaTheme="majorEastAsia" w:hAnsiTheme="majorHAnsi" w:cstheme="majorBidi"/>
      <w:b/>
      <w:bCs/>
      <w:color w:val="4F81BD" w:themeColor="accent1"/>
      <w:sz w:val="26"/>
      <w:szCs w:val="26"/>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773"/>
    <w:pPr>
      <w:keepNext/>
      <w:keepLines/>
      <w:shd w:val="clear" w:color="auto" w:fill="0F243E" w:themeFill="text2" w:themeFillShade="80"/>
      <w:tabs>
        <w:tab w:val="left" w:pos="3330"/>
      </w:tabs>
      <w:spacing w:before="120" w:after="12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1C72A4"/>
    <w:pPr>
      <w:keepNext/>
      <w:keepLines/>
      <w:spacing w:before="200" w:after="0"/>
      <w:outlineLvl w:val="1"/>
    </w:pPr>
    <w:rPr>
      <w:rFonts w:asciiTheme="majorHAnsi" w:eastAsiaTheme="majorEastAsia" w:hAnsiTheme="majorHAnsi" w:cstheme="majorBidi"/>
      <w:b/>
      <w:bCs/>
      <w:color w:val="4F81BD" w:themeColor="accent1"/>
      <w:sz w:val="26"/>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67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7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773"/>
    <w:rPr>
      <w:rFonts w:asciiTheme="majorHAnsi" w:eastAsiaTheme="majorEastAsia" w:hAnsiTheme="majorHAnsi" w:cstheme="majorBidi"/>
      <w:b/>
      <w:bCs/>
      <w:color w:val="FFFFFF" w:themeColor="background1"/>
      <w:sz w:val="28"/>
      <w:szCs w:val="28"/>
      <w:shd w:val="clear" w:color="auto" w:fill="0F243E" w:themeFill="text2" w:themeFillShade="80"/>
    </w:rPr>
  </w:style>
  <w:style w:type="paragraph" w:styleId="ListParagraph">
    <w:name w:val="List Paragraph"/>
    <w:basedOn w:val="Normal"/>
    <w:uiPriority w:val="34"/>
    <w:qFormat/>
    <w:rsid w:val="003B6773"/>
    <w:pPr>
      <w:ind w:left="720"/>
      <w:contextualSpacing/>
    </w:pPr>
  </w:style>
  <w:style w:type="table" w:styleId="TableGrid">
    <w:name w:val="Table Grid"/>
    <w:basedOn w:val="TableNormal"/>
    <w:uiPriority w:val="59"/>
    <w:rsid w:val="0071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E09"/>
    <w:pPr>
      <w:spacing w:after="0" w:line="240" w:lineRule="auto"/>
    </w:pPr>
  </w:style>
  <w:style w:type="paragraph" w:styleId="Caption">
    <w:name w:val="caption"/>
    <w:basedOn w:val="Normal"/>
    <w:next w:val="Normal"/>
    <w:uiPriority w:val="35"/>
    <w:unhideWhenUsed/>
    <w:qFormat/>
    <w:rsid w:val="00710F3E"/>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1C72A4"/>
    <w:rPr>
      <w:rFonts w:asciiTheme="majorHAnsi" w:eastAsiaTheme="majorEastAsia" w:hAnsiTheme="majorHAnsi" w:cstheme="majorBidi"/>
      <w:b/>
      <w:bCs/>
      <w:color w:val="4F81BD" w:themeColor="accent1"/>
      <w:sz w:val="26"/>
      <w:szCs w:val="2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24C3-83B6-4888-9C8C-9E516E9C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Development Gateway</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Scott</dc:creator>
  <cp:lastModifiedBy>Owen Scott</cp:lastModifiedBy>
  <cp:revision>6</cp:revision>
  <dcterms:created xsi:type="dcterms:W3CDTF">2013-03-06T13:08:00Z</dcterms:created>
  <dcterms:modified xsi:type="dcterms:W3CDTF">2013-03-06T14:26:00Z</dcterms:modified>
</cp:coreProperties>
</file>